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№1 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к постановлению главы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</w:p>
    <w:p w:rsidR="00901C49" w:rsidRDefault="00F261EE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2B52BB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>муниципального района Куюргазинский район</w:t>
      </w:r>
    </w:p>
    <w:p w:rsid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Республики Башкортостан </w:t>
      </w:r>
    </w:p>
    <w:p w:rsidR="00277D6D" w:rsidRPr="00901C49" w:rsidRDefault="00277D6D" w:rsidP="00901C49">
      <w:pPr>
        <w:tabs>
          <w:tab w:val="left" w:pos="9781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901C49">
        <w:rPr>
          <w:rFonts w:ascii="Times New Roman" w:hAnsi="Times New Roman" w:cs="Times New Roman"/>
          <w:sz w:val="24"/>
          <w:szCs w:val="24"/>
          <w:lang w:bidi="ru-RU"/>
        </w:rPr>
        <w:t>15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сентября  2020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года №</w:t>
      </w:r>
      <w:r w:rsidR="00901C49">
        <w:rPr>
          <w:rFonts w:ascii="Times New Roman" w:hAnsi="Times New Roman" w:cs="Times New Roman"/>
          <w:sz w:val="24"/>
          <w:szCs w:val="24"/>
          <w:lang w:bidi="ru-RU"/>
        </w:rPr>
        <w:t>85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901C49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>ПОРЯДОК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порядок составления, утверждения и ведения бюджетных смет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F220E5" w:rsidRPr="00901C49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I. Общие положения</w:t>
      </w:r>
    </w:p>
    <w:p w:rsidR="00277D6D" w:rsidRPr="00901C49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Порядок составления, утверждения и ведения бюджетных смет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F261EE" w:rsidRPr="00901C49">
        <w:rPr>
          <w:rFonts w:ascii="Times New Roman" w:hAnsi="Times New Roman" w:cs="Times New Roman"/>
          <w:sz w:val="24"/>
          <w:szCs w:val="24"/>
        </w:rPr>
        <w:t xml:space="preserve">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Мурапталовский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Куюргазинский район Республики Башкортостан (далее –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дминистрация).</w:t>
      </w:r>
    </w:p>
    <w:p w:rsidR="00F220E5" w:rsidRPr="00901C49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II. Составление бюджетной сметы</w:t>
      </w:r>
    </w:p>
    <w:p w:rsidR="00277D6D" w:rsidRPr="00901C49" w:rsidRDefault="00277D6D" w:rsidP="00277D6D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901C49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277D6D" w:rsidRPr="00901C49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сельсовет муниципального района К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 двумя знаками после запятой.</w:t>
      </w:r>
    </w:p>
    <w:p w:rsidR="00277D6D" w:rsidRPr="00901C49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составляется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>на основании обоснований (расчетов) плановых сметных показателей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901C49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  <w:t>Администрация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составля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>т бюджетную смету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>Обоснования (расчеты) плановых сметных показателей составляются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br/>
        <w:t xml:space="preserve">в процессе формирования проекта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решения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о бюджете на очередной финансовый год и плановый период в сроки,</w:t>
      </w:r>
      <w:r w:rsidRPr="00901C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и утверждаются при утверждении сметы.</w:t>
      </w:r>
      <w:r w:rsidR="00277D6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III. Утверждение бюджетной сметы</w:t>
      </w: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220E5" w:rsidRPr="00901C49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P68"/>
      <w:bookmarkEnd w:id="0"/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Бюджетная смета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дминистрации, не содержащая сведения, составляющие государственную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тайну,  утверждается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главой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Республики Башкортостан или иным уполномоченным им лицом не позднее десяти рабочих дней со дня доведения до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лимитов бюджетных обязательств</w:t>
      </w:r>
      <w:bookmarkStart w:id="1" w:name="P70"/>
      <w:bookmarkEnd w:id="1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в одном экземпляре.</w:t>
      </w:r>
    </w:p>
    <w:p w:rsidR="00F220E5" w:rsidRPr="00901C49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4411D5" w:rsidRPr="00901C49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b/>
          <w:sz w:val="24"/>
          <w:szCs w:val="24"/>
          <w:lang w:bidi="ru-RU"/>
        </w:rPr>
        <w:t>IV. Ведение бюджетной сметы</w:t>
      </w:r>
    </w:p>
    <w:p w:rsidR="00277D6D" w:rsidRPr="00901C49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Ведением бюджетной сметы в целях реализации Порядка является внесение изменений в показатели бюджетной сметы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в пределах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доведенных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в установленном законодательством Российской Федерации порядке лимитов бюджетных обязательств.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Изменения показателей бюджетной сметы составляются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дминистрацией согласно приложению № 2 к Порядку.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Изменения показателей бюджетной сметы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Администрации оформля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тся </w:t>
      </w:r>
      <w:r w:rsidR="00F261EE" w:rsidRPr="00901C49">
        <w:rPr>
          <w:rFonts w:ascii="Times New Roman" w:hAnsi="Times New Roman" w:cs="Times New Roman"/>
          <w:sz w:val="24"/>
          <w:szCs w:val="24"/>
          <w:lang w:bidi="ru-RU"/>
        </w:rPr>
        <w:t>МКУ "Центр бухгалтерского обслуживания и закупок МР Куюргазинский район РБ"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Изменения показателей бюджетной сметы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утверждаются главой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 или иным уполномоченным им лицом.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изменяющих объемы сметных назначений в случае изменения доведенных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в установленном законодательством Российской Федерации </w:t>
      </w:r>
      <w:proofErr w:type="gramStart"/>
      <w:r w:rsidRPr="00901C49">
        <w:rPr>
          <w:rFonts w:ascii="Times New Roman" w:hAnsi="Times New Roman" w:cs="Times New Roman"/>
          <w:sz w:val="24"/>
          <w:szCs w:val="24"/>
          <w:lang w:bidi="ru-RU"/>
        </w:rPr>
        <w:t>порядке  лимитов</w:t>
      </w:r>
      <w:proofErr w:type="gramEnd"/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бюджетных обязательств;</w:t>
      </w:r>
    </w:p>
    <w:p w:rsidR="004411D5" w:rsidRPr="00901C49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C541F1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41F1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дминистрации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и лимитов бюджетных обязательств;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901C49">
        <w:rPr>
          <w:rFonts w:ascii="Times New Roman" w:hAnsi="Times New Roman" w:cs="Times New Roman"/>
          <w:sz w:val="24"/>
          <w:szCs w:val="24"/>
        </w:rPr>
        <w:t xml:space="preserve">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сельсовет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муниципального района Куюргазинский район Республики Башкортостан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не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 утвержденного объема лимитов бюджетных обязательств;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изменяющих объемы сметных назначений, приводящих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br/>
        <w:t>к перераспределению их между разделами сметы;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901C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порядком</w:t>
        </w:r>
      </w:hyperlink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составления и ведения сводной бюджетной росписи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бюджета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Мурапталовский 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сельсовет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района Куюргазинский район 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Республики Башкортостан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br/>
        <w:t>до окончания текущего финансового года.</w:t>
      </w:r>
    </w:p>
    <w:p w:rsidR="004411D5" w:rsidRPr="00901C49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P98"/>
      <w:bookmarkEnd w:id="2"/>
      <w:r w:rsidRPr="00901C4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Утверждение изменений в бюджетную смету осуществляется в сроки, предусмотренные 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>раздел</w:t>
      </w:r>
      <w:r w:rsidR="00A7425D" w:rsidRPr="00901C49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01C49">
        <w:rPr>
          <w:rFonts w:ascii="Times New Roman" w:hAnsi="Times New Roman" w:cs="Times New Roman"/>
          <w:sz w:val="24"/>
          <w:szCs w:val="24"/>
          <w:lang w:val="en-US" w:bidi="ru-RU"/>
        </w:rPr>
        <w:t>III</w:t>
      </w:r>
      <w:r w:rsidR="004411D5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Порядка.</w:t>
      </w:r>
    </w:p>
    <w:p w:rsidR="00277D6D" w:rsidRPr="00901C49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Управляющий делами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</w:t>
      </w:r>
      <w:r w:rsidR="00901C4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</w:t>
      </w:r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proofErr w:type="spellStart"/>
      <w:r w:rsidR="00B278F6" w:rsidRPr="00901C49">
        <w:rPr>
          <w:rFonts w:ascii="Times New Roman" w:hAnsi="Times New Roman" w:cs="Times New Roman"/>
          <w:sz w:val="24"/>
          <w:szCs w:val="24"/>
          <w:lang w:bidi="ru-RU"/>
        </w:rPr>
        <w:t>В.Ф.Хисикова</w:t>
      </w:r>
      <w:proofErr w:type="spellEnd"/>
    </w:p>
    <w:p w:rsidR="00C541F1" w:rsidRPr="00901C49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77D6D" w:rsidRPr="00901C49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 w:firstRow="1" w:lastRow="0" w:firstColumn="1" w:lastColumn="0" w:noHBand="0" w:noVBand="1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"15.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 w:firstRow="1" w:lastRow="0" w:firstColumn="1" w:lastColumn="0" w:noHBand="0" w:noVBand="1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278F6"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Мурапталовский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</w:t>
            </w:r>
            <w:proofErr w:type="gram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  утвержденному</w:t>
            </w:r>
            <w:proofErr w:type="gram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15.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9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Start w:id="4" w:name="_GoBack"/>
            <w:bookmarkEnd w:id="4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B27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B278F6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B278F6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B278F6" w:rsidTr="00A7425D">
        <w:trPr>
          <w:trHeight w:val="649"/>
        </w:trPr>
        <w:tc>
          <w:tcPr>
            <w:tcW w:w="5754" w:type="dxa"/>
            <w:gridSpan w:val="4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B278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(+,-)</w:t>
            </w:r>
          </w:p>
        </w:tc>
      </w:tr>
      <w:tr w:rsidR="00A7425D" w:rsidRPr="00B278F6" w:rsidTr="00A7425D">
        <w:trPr>
          <w:trHeight w:val="1298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B278F6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B278F6" w:rsidTr="00A7425D">
        <w:trPr>
          <w:trHeight w:val="244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17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rPr>
          <w:trHeight w:val="333"/>
        </w:trPr>
        <w:tc>
          <w:tcPr>
            <w:tcW w:w="123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B278F6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B278F6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B278F6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B278F6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</w:t>
                  </w:r>
                  <w:r w:rsidR="002358D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B278F6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должность)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(подпись)                (расшифровка подписи)</w:t>
                  </w:r>
                </w:p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58D2" w:rsidRPr="00B278F6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2358D2" w:rsidRPr="00B278F6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B278F6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</w:t>
                  </w:r>
                  <w:proofErr w:type="gramStart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подпись)   </w:t>
                  </w:r>
                  <w:proofErr w:type="gramEnd"/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="00B10702"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B278F6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2358D2" w:rsidRPr="00B278F6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</w:t>
            </w:r>
            <w:proofErr w:type="gramStart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B278F6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78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6"/>
    <w:rsid w:val="0007437B"/>
    <w:rsid w:val="00075E05"/>
    <w:rsid w:val="002358D2"/>
    <w:rsid w:val="00245102"/>
    <w:rsid w:val="00277D6D"/>
    <w:rsid w:val="002B52BB"/>
    <w:rsid w:val="004411D5"/>
    <w:rsid w:val="00732046"/>
    <w:rsid w:val="00901C49"/>
    <w:rsid w:val="00A7425D"/>
    <w:rsid w:val="00B10702"/>
    <w:rsid w:val="00B278F6"/>
    <w:rsid w:val="00B440D5"/>
    <w:rsid w:val="00B67A84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05B2-C548-4BFC-9E97-03D37D5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МурапталУправДел</cp:lastModifiedBy>
  <cp:revision>2</cp:revision>
  <cp:lastPrinted>2020-09-16T09:29:00Z</cp:lastPrinted>
  <dcterms:created xsi:type="dcterms:W3CDTF">2020-09-16T09:29:00Z</dcterms:created>
  <dcterms:modified xsi:type="dcterms:W3CDTF">2020-09-16T09:29:00Z</dcterms:modified>
</cp:coreProperties>
</file>