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к постановлению администрации сельского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поселения </w:t>
      </w:r>
      <w:r w:rsidR="00D27004">
        <w:rPr>
          <w:rFonts w:ascii="Times New Roman" w:hAnsi="Times New Roman"/>
          <w:sz w:val="24"/>
          <w:szCs w:val="24"/>
        </w:rPr>
        <w:t>Мурапталовский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3076ED" w:rsidRPr="00401145" w:rsidRDefault="003076ED" w:rsidP="003076E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75876">
        <w:rPr>
          <w:rFonts w:ascii="Times New Roman" w:hAnsi="Times New Roman"/>
          <w:sz w:val="24"/>
          <w:szCs w:val="24"/>
        </w:rPr>
        <w:t>11.06.2019</w:t>
      </w:r>
      <w:r w:rsidR="00D27004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года </w:t>
      </w:r>
      <w:r w:rsidRPr="00401145">
        <w:rPr>
          <w:rFonts w:ascii="Times New Roman" w:hAnsi="Times New Roman"/>
          <w:sz w:val="24"/>
          <w:szCs w:val="24"/>
        </w:rPr>
        <w:t xml:space="preserve"> </w:t>
      </w:r>
      <w:r w:rsidR="00D27004">
        <w:rPr>
          <w:rFonts w:ascii="Times New Roman" w:hAnsi="Times New Roman"/>
          <w:sz w:val="24"/>
          <w:szCs w:val="24"/>
        </w:rPr>
        <w:t>№</w:t>
      </w:r>
      <w:proofErr w:type="gramEnd"/>
      <w:r w:rsidR="00D27004">
        <w:rPr>
          <w:rFonts w:ascii="Times New Roman" w:hAnsi="Times New Roman"/>
          <w:sz w:val="24"/>
          <w:szCs w:val="24"/>
        </w:rPr>
        <w:t xml:space="preserve"> </w:t>
      </w:r>
      <w:r w:rsidR="00D75876">
        <w:rPr>
          <w:rFonts w:ascii="Times New Roman" w:hAnsi="Times New Roman"/>
          <w:sz w:val="24"/>
          <w:szCs w:val="24"/>
        </w:rPr>
        <w:t>67/1</w:t>
      </w:r>
      <w:r w:rsidR="00D27004">
        <w:rPr>
          <w:rFonts w:ascii="Times New Roman" w:hAnsi="Times New Roman"/>
          <w:sz w:val="24"/>
          <w:szCs w:val="24"/>
        </w:rPr>
        <w:t xml:space="preserve"> </w:t>
      </w:r>
    </w:p>
    <w:p w:rsidR="003076ED" w:rsidRDefault="003076ED" w:rsidP="003076E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right"/>
        <w:rPr>
          <w:sz w:val="28"/>
          <w:szCs w:val="28"/>
          <w:u w:val="single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8B7664">
        <w:rPr>
          <w:rStyle w:val="a5"/>
          <w:color w:val="000000"/>
          <w:sz w:val="28"/>
          <w:szCs w:val="28"/>
        </w:rPr>
        <w:t xml:space="preserve">МУНИЦИПАЛЬНАЯ </w:t>
      </w:r>
      <w:proofErr w:type="gramStart"/>
      <w:r w:rsidRPr="008B7664">
        <w:rPr>
          <w:rStyle w:val="a5"/>
          <w:color w:val="000000"/>
          <w:sz w:val="28"/>
          <w:szCs w:val="28"/>
        </w:rPr>
        <w:t>ПРОГРАММА</w:t>
      </w:r>
      <w:r w:rsidRPr="008B7664">
        <w:rPr>
          <w:color w:val="000000"/>
          <w:sz w:val="28"/>
          <w:szCs w:val="28"/>
        </w:rPr>
        <w:br/>
      </w:r>
      <w:r w:rsidRPr="00E5185F">
        <w:rPr>
          <w:b/>
          <w:color w:val="000000"/>
          <w:sz w:val="28"/>
          <w:szCs w:val="28"/>
        </w:rPr>
        <w:t>«</w:t>
      </w:r>
      <w:proofErr w:type="gramEnd"/>
      <w:r w:rsidRPr="00E5185F">
        <w:rPr>
          <w:b/>
          <w:color w:val="000000"/>
          <w:sz w:val="28"/>
          <w:szCs w:val="28"/>
        </w:rPr>
        <w:t xml:space="preserve">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E5185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28477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284776">
        <w:rPr>
          <w:b/>
          <w:color w:val="000000"/>
          <w:sz w:val="28"/>
          <w:szCs w:val="28"/>
        </w:rPr>
        <w:t>1</w:t>
      </w:r>
      <w:r w:rsidRPr="00E5185F">
        <w:rPr>
          <w:b/>
          <w:color w:val="000000"/>
          <w:sz w:val="28"/>
          <w:szCs w:val="28"/>
        </w:rPr>
        <w:t xml:space="preserve"> годы»</w:t>
      </w:r>
    </w:p>
    <w:p w:rsidR="003076ED" w:rsidRPr="008B7664" w:rsidRDefault="003076ED" w:rsidP="003076ED">
      <w:pPr>
        <w:spacing w:after="75" w:line="240" w:lineRule="atLeast"/>
        <w:jc w:val="center"/>
        <w:rPr>
          <w:color w:val="000000"/>
          <w:sz w:val="28"/>
          <w:szCs w:val="28"/>
        </w:rPr>
      </w:pPr>
      <w:r w:rsidRPr="008B7664">
        <w:rPr>
          <w:color w:val="000000"/>
          <w:sz w:val="28"/>
          <w:szCs w:val="28"/>
        </w:rPr>
        <w:br/>
      </w:r>
      <w:bookmarkStart w:id="1" w:name="Par41"/>
      <w:bookmarkEnd w:id="1"/>
      <w:r w:rsidRPr="008B7664">
        <w:rPr>
          <w:b/>
          <w:color w:val="000000"/>
          <w:sz w:val="28"/>
          <w:szCs w:val="28"/>
        </w:rPr>
        <w:t>ПАСПОРТ ПРОГРАММЫ</w:t>
      </w:r>
      <w:r w:rsidRPr="008B7664">
        <w:rPr>
          <w:color w:val="000000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430"/>
      </w:tblGrid>
      <w:tr w:rsidR="003076ED" w:rsidRPr="00C239BD" w:rsidTr="00174B11">
        <w:trPr>
          <w:trHeight w:val="8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B7664">
              <w:rPr>
                <w:color w:val="000000"/>
                <w:sz w:val="28"/>
                <w:szCs w:val="28"/>
              </w:rPr>
              <w:t xml:space="preserve">«Профилактика экстремизма и терроризма в сельском поселении </w:t>
            </w:r>
            <w:r w:rsidR="00D27004">
              <w:rPr>
                <w:color w:val="000000"/>
                <w:sz w:val="28"/>
                <w:szCs w:val="28"/>
              </w:rPr>
              <w:t>Мурапталовский</w:t>
            </w:r>
            <w:r w:rsidRPr="008B7664">
              <w:rPr>
                <w:color w:val="000000"/>
                <w:sz w:val="28"/>
                <w:szCs w:val="28"/>
              </w:rPr>
              <w:t xml:space="preserve"> сельсовет муниципального района Куюргазинский рай</w:t>
            </w:r>
            <w:r>
              <w:rPr>
                <w:color w:val="000000"/>
                <w:sz w:val="28"/>
                <w:szCs w:val="28"/>
              </w:rPr>
              <w:t xml:space="preserve">он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  201</w:t>
            </w:r>
            <w:r w:rsidR="00284776">
              <w:rPr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color w:val="000000"/>
                <w:sz w:val="28"/>
                <w:szCs w:val="28"/>
              </w:rPr>
              <w:t>-20</w:t>
            </w:r>
            <w:r w:rsidR="00284776">
              <w:rPr>
                <w:color w:val="000000"/>
                <w:sz w:val="28"/>
                <w:szCs w:val="28"/>
              </w:rPr>
              <w:t>21</w:t>
            </w:r>
            <w:r w:rsidRPr="008B7664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 </w:t>
            </w:r>
            <w:r w:rsidRPr="004C52B3">
              <w:rPr>
                <w:sz w:val="28"/>
                <w:szCs w:val="28"/>
              </w:rPr>
              <w:t>(далее - Программа)</w:t>
            </w:r>
          </w:p>
          <w:p w:rsidR="003076ED" w:rsidRPr="00A51516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0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Заказчик и исполнители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8B7664" w:rsidRDefault="003076ED" w:rsidP="00D27004">
            <w:pPr>
              <w:jc w:val="both"/>
              <w:rPr>
                <w:sz w:val="28"/>
                <w:szCs w:val="28"/>
              </w:rPr>
            </w:pPr>
            <w:proofErr w:type="gramStart"/>
            <w:r w:rsidRPr="00C239B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 </w:t>
            </w:r>
            <w:r w:rsidR="00D27004">
              <w:rPr>
                <w:sz w:val="28"/>
                <w:szCs w:val="28"/>
              </w:rPr>
              <w:t>Мурапталовский</w:t>
            </w:r>
            <w:r>
              <w:rPr>
                <w:sz w:val="28"/>
                <w:szCs w:val="28"/>
              </w:rPr>
              <w:t xml:space="preserve">  сельсовет муниципального района Куюргазинский район Республики Башкортостан</w:t>
            </w:r>
          </w:p>
        </w:tc>
      </w:tr>
      <w:tr w:rsidR="003076ED" w:rsidRPr="00C239BD" w:rsidTr="00174B11">
        <w:trPr>
          <w:trHeight w:val="14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овышение уровня безопасности и защищенности населения и территории сельского поселения от угроз терроризма и экстремизма;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Pr="00C239BD">
              <w:rPr>
                <w:sz w:val="28"/>
                <w:szCs w:val="28"/>
              </w:rPr>
              <w:t>редупреждение и пресечение распространения террористической и экстремистской идеологии.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284776">
        <w:trPr>
          <w:trHeight w:val="43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системы профилактических мер, направленных на противодействие терроризму;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239BD">
              <w:rPr>
                <w:sz w:val="28"/>
                <w:szCs w:val="28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C239BD">
              <w:rPr>
                <w:sz w:val="28"/>
                <w:szCs w:val="28"/>
              </w:rPr>
              <w:t>овершенствование информационно-пропагандистской и воспитательной работы, направленной на профилактику и предупреждение террористическ</w:t>
            </w:r>
            <w:r>
              <w:rPr>
                <w:sz w:val="28"/>
                <w:szCs w:val="28"/>
              </w:rPr>
              <w:t>их, и экстремистских проявлений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8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lastRenderedPageBreak/>
              <w:t xml:space="preserve">Сроки 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Программы</w:t>
            </w:r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Реализация Прогр</w:t>
            </w:r>
            <w:r>
              <w:rPr>
                <w:sz w:val="28"/>
                <w:szCs w:val="28"/>
              </w:rPr>
              <w:t>аммы рассчитана на период с 201</w:t>
            </w:r>
            <w:r w:rsidR="002847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202</w:t>
            </w:r>
            <w:r w:rsidR="00284776">
              <w:rPr>
                <w:sz w:val="28"/>
                <w:szCs w:val="28"/>
              </w:rPr>
              <w:t>1</w:t>
            </w:r>
            <w:r w:rsidRPr="00C239BD">
              <w:rPr>
                <w:sz w:val="28"/>
                <w:szCs w:val="28"/>
              </w:rPr>
              <w:t xml:space="preserve"> годы.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trHeight w:val="12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Объемы 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источники</w:t>
            </w:r>
          </w:p>
          <w:p w:rsidR="003076ED" w:rsidRPr="00C239BD" w:rsidRDefault="003076ED" w:rsidP="00174B11">
            <w:pPr>
              <w:jc w:val="center"/>
              <w:rPr>
                <w:sz w:val="28"/>
                <w:szCs w:val="28"/>
              </w:rPr>
            </w:pPr>
            <w:proofErr w:type="gramStart"/>
            <w:r w:rsidRPr="00C239BD">
              <w:rPr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E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D27004">
              <w:rPr>
                <w:sz w:val="28"/>
                <w:szCs w:val="28"/>
              </w:rPr>
              <w:t>Мурапталовский</w:t>
            </w:r>
            <w:r>
              <w:rPr>
                <w:sz w:val="28"/>
                <w:szCs w:val="28"/>
              </w:rPr>
              <w:t xml:space="preserve"> сельсовет муниципального района Куюргазинский район Республики Башкортостан.</w:t>
            </w:r>
            <w:r w:rsidRPr="00C239BD">
              <w:rPr>
                <w:sz w:val="28"/>
                <w:szCs w:val="28"/>
              </w:rPr>
              <w:t xml:space="preserve"> 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 w:rsidRPr="00C239BD">
              <w:rPr>
                <w:sz w:val="28"/>
                <w:szCs w:val="28"/>
              </w:rPr>
              <w:t>Общий объем средств местного бюджета на реализацию п</w:t>
            </w:r>
            <w:r>
              <w:rPr>
                <w:sz w:val="28"/>
                <w:szCs w:val="28"/>
              </w:rPr>
              <w:t xml:space="preserve">рограммы составит   9,0 </w:t>
            </w:r>
            <w:r w:rsidRPr="00C239BD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239BD">
              <w:rPr>
                <w:sz w:val="28"/>
                <w:szCs w:val="28"/>
              </w:rPr>
              <w:t>рублей, в том числе:</w:t>
            </w:r>
          </w:p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D27004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,0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76ED" w:rsidRDefault="00D27004" w:rsidP="00174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proofErr w:type="gramStart"/>
            <w:r>
              <w:rPr>
                <w:sz w:val="28"/>
                <w:szCs w:val="28"/>
              </w:rPr>
              <w:t>–  5</w:t>
            </w:r>
            <w:proofErr w:type="gramEnd"/>
            <w:r w:rsidR="003076ED">
              <w:rPr>
                <w:sz w:val="28"/>
                <w:szCs w:val="28"/>
              </w:rPr>
              <w:t xml:space="preserve">,0  </w:t>
            </w:r>
            <w:proofErr w:type="spellStart"/>
            <w:r w:rsidR="003076ED">
              <w:rPr>
                <w:sz w:val="28"/>
                <w:szCs w:val="28"/>
              </w:rPr>
              <w:t>тыс.руб</w:t>
            </w:r>
            <w:proofErr w:type="spellEnd"/>
            <w:r w:rsidR="003076ED">
              <w:rPr>
                <w:sz w:val="28"/>
                <w:szCs w:val="28"/>
              </w:rPr>
              <w:t>.</w:t>
            </w:r>
          </w:p>
          <w:p w:rsidR="00284776" w:rsidRPr="00C239BD" w:rsidRDefault="00D27004" w:rsidP="00284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proofErr w:type="gramStart"/>
            <w:r>
              <w:rPr>
                <w:sz w:val="28"/>
                <w:szCs w:val="28"/>
              </w:rPr>
              <w:t>–  5</w:t>
            </w:r>
            <w:proofErr w:type="gramEnd"/>
            <w:r w:rsidR="00284776">
              <w:rPr>
                <w:sz w:val="28"/>
                <w:szCs w:val="28"/>
              </w:rPr>
              <w:t xml:space="preserve">,0  </w:t>
            </w:r>
            <w:proofErr w:type="spellStart"/>
            <w:r w:rsidR="00284776">
              <w:rPr>
                <w:sz w:val="28"/>
                <w:szCs w:val="28"/>
              </w:rPr>
              <w:t>тыс.руб</w:t>
            </w:r>
            <w:proofErr w:type="spellEnd"/>
            <w:r w:rsidR="00284776">
              <w:rPr>
                <w:sz w:val="28"/>
                <w:szCs w:val="28"/>
              </w:rPr>
              <w:t>.</w:t>
            </w:r>
          </w:p>
          <w:p w:rsidR="00284776" w:rsidRPr="00C239BD" w:rsidRDefault="00284776" w:rsidP="00174B11">
            <w:pPr>
              <w:jc w:val="both"/>
              <w:rPr>
                <w:sz w:val="28"/>
                <w:szCs w:val="28"/>
              </w:rPr>
            </w:pPr>
          </w:p>
        </w:tc>
      </w:tr>
      <w:tr w:rsidR="003076ED" w:rsidRPr="00C239BD" w:rsidTr="00174B11">
        <w:trPr>
          <w:gridAfter w:val="1"/>
          <w:wAfter w:w="430" w:type="dxa"/>
          <w:trHeight w:val="359"/>
        </w:trPr>
        <w:tc>
          <w:tcPr>
            <w:tcW w:w="23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76ED" w:rsidRPr="00C239BD" w:rsidRDefault="003076ED" w:rsidP="00174B11">
            <w:pPr>
              <w:jc w:val="both"/>
              <w:rPr>
                <w:sz w:val="28"/>
                <w:szCs w:val="28"/>
              </w:rPr>
            </w:pPr>
          </w:p>
        </w:tc>
      </w:tr>
    </w:tbl>
    <w:p w:rsidR="003076ED" w:rsidRDefault="003076ED" w:rsidP="003076ED">
      <w:pPr>
        <w:jc w:val="center"/>
        <w:rPr>
          <w:sz w:val="28"/>
          <w:szCs w:val="28"/>
          <w:u w:val="single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Характеристика проблемы и обоснование</w:t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необходимости ее решения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Объект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посягательств.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Предмет регулирования - система общественных правоотношений в сфере обеспечения общественной безопасности и правопорядка. </w:t>
      </w:r>
    </w:p>
    <w:p w:rsidR="003076ED" w:rsidRPr="00386B71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Направление действия Программы - совершенствование механизма взаимодействия государственных органов исполнительной власти, органов местного самоуправлен</w:t>
      </w:r>
      <w:r>
        <w:rPr>
          <w:sz w:val="28"/>
          <w:szCs w:val="28"/>
        </w:rPr>
        <w:t xml:space="preserve">ия </w:t>
      </w:r>
      <w:r w:rsidRPr="00C239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 w:rsidRPr="00386B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 СП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</w:t>
      </w:r>
      <w:r w:rsidRPr="00386B71">
        <w:rPr>
          <w:sz w:val="28"/>
          <w:szCs w:val="28"/>
        </w:rPr>
        <w:t>), общественных объединений и населения сельского поселения.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Выполнение запланированных программных мероприятий будет осуществляться по двум основным направлениям: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386B71">
        <w:rPr>
          <w:sz w:val="28"/>
          <w:szCs w:val="28"/>
        </w:rPr>
        <w:t>- осуществление профилактического воздействия на факторы, определяющие ситуацию в сфере противодействия терроризму и экстремизму на территории</w:t>
      </w:r>
      <w:r>
        <w:rPr>
          <w:sz w:val="28"/>
          <w:szCs w:val="28"/>
        </w:rPr>
        <w:t xml:space="preserve">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86B71">
        <w:rPr>
          <w:sz w:val="28"/>
          <w:szCs w:val="28"/>
        </w:rPr>
        <w:t>, минимизация угроз</w:t>
      </w:r>
      <w:r>
        <w:rPr>
          <w:sz w:val="28"/>
          <w:szCs w:val="28"/>
        </w:rPr>
        <w:t xml:space="preserve"> возникновения террористических и экстремистских проявлений;</w:t>
      </w:r>
    </w:p>
    <w:p w:rsidR="003076ED" w:rsidRPr="00386B71" w:rsidRDefault="003076ED" w:rsidP="003076ED">
      <w:pPr>
        <w:ind w:firstLine="709"/>
        <w:jc w:val="both"/>
        <w:rPr>
          <w:sz w:val="28"/>
          <w:szCs w:val="28"/>
        </w:rPr>
      </w:pPr>
      <w:r w:rsidRPr="00386B71">
        <w:rPr>
          <w:sz w:val="28"/>
          <w:szCs w:val="28"/>
        </w:rPr>
        <w:t xml:space="preserve"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исполнительной власти, организаций и </w:t>
      </w:r>
      <w:proofErr w:type="gramStart"/>
      <w:r w:rsidRPr="00386B71">
        <w:rPr>
          <w:sz w:val="28"/>
          <w:szCs w:val="28"/>
        </w:rPr>
        <w:t>предприятий,  расположенных</w:t>
      </w:r>
      <w:proofErr w:type="gramEnd"/>
      <w:r w:rsidRPr="00386B7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</w:t>
      </w:r>
      <w:r w:rsidRPr="00386B71">
        <w:rPr>
          <w:sz w:val="28"/>
          <w:szCs w:val="28"/>
        </w:rPr>
        <w:t>,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Согласно статье 4 Федерального закона от 6 марта 2006 года № 35-ФЗ </w:t>
      </w:r>
      <w:r w:rsidRPr="00C239BD">
        <w:rPr>
          <w:sz w:val="28"/>
          <w:szCs w:val="28"/>
        </w:rPr>
        <w:br/>
        <w:t>«О противодействии терроризму</w:t>
      </w:r>
      <w:proofErr w:type="gramStart"/>
      <w:r w:rsidRPr="00C239BD">
        <w:rPr>
          <w:sz w:val="28"/>
          <w:szCs w:val="28"/>
        </w:rPr>
        <w:t>»,  противодействие</w:t>
      </w:r>
      <w:proofErr w:type="gramEnd"/>
      <w:r w:rsidRPr="00C239BD">
        <w:rPr>
          <w:sz w:val="28"/>
          <w:szCs w:val="28"/>
        </w:rPr>
        <w:t xml:space="preserve"> терроризму - деятельность органов государственной власти и органов местного самоуправления по: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3076ED" w:rsidRDefault="003076ED" w:rsidP="003076ED">
      <w:pPr>
        <w:ind w:firstLine="708"/>
        <w:jc w:val="both"/>
        <w:rPr>
          <w:color w:val="000000"/>
        </w:rPr>
      </w:pP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минимизации и (или) ликвидации последствий проявлений терроризма.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органов, так и населения. Понятно, что не замеченными для какого-то числа окружающих людей они не оставались. Однако, ввиду сохраняющегося в обществе правового нигилизма, острой и адекватной реакции при этих соприкосновениях не последовало.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 xml:space="preserve">Необходимо отметить, что в отечественной юридической литературе терроризм рассматривается как крайняя форма проявления экстремизма. Под экстремизмом (экстремистской деятельностью) в российской правовой доктрине понимается: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пропаганда и публичная демонстрация нацистской и сходной с ней атрибутики или символики;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публичные призывы к указанной деятельности;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 xml:space="preserve">финансирование указанной деятельности.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 экстремистские проявления.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 w:rsidRPr="00C239BD">
        <w:rPr>
          <w:sz w:val="28"/>
          <w:szCs w:val="28"/>
        </w:rPr>
        <w:tab/>
        <w:t>Важнейшее место в борьбе с терроризмом и экстремизмом занимает предупреждение его проявлений.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Предупредить - значит отвратить что-либо заранее принятыми мерами. Опередить, сделать что-либо ранее, чем что-нибудь произошло.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- одна из первостепенных задач любого современного государства. Во-вторых, </w:t>
      </w:r>
      <w:proofErr w:type="gramStart"/>
      <w:r w:rsidRPr="00C239BD">
        <w:rPr>
          <w:sz w:val="28"/>
          <w:szCs w:val="28"/>
        </w:rPr>
        <w:t>предупреждение  есть</w:t>
      </w:r>
      <w:proofErr w:type="gramEnd"/>
      <w:r w:rsidRPr="00C239BD">
        <w:rPr>
          <w:sz w:val="28"/>
          <w:szCs w:val="28"/>
        </w:rPr>
        <w:t xml:space="preserve"> комплексная система мер социально-экономического, политического и юридического характера, направленная на предотвращение возникновения террористических и экстремистских организаций (группировок), совершения противоправных акций,  целью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Противодействие экстремизму - это не только задача государства, </w:t>
      </w:r>
      <w:r w:rsidRPr="00C239BD">
        <w:rPr>
          <w:sz w:val="28"/>
          <w:szCs w:val="28"/>
        </w:rPr>
        <w:lastRenderedPageBreak/>
        <w:t xml:space="preserve">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</w:t>
      </w:r>
      <w:proofErr w:type="gramStart"/>
      <w:r w:rsidRPr="00C239BD">
        <w:rPr>
          <w:sz w:val="28"/>
          <w:szCs w:val="28"/>
        </w:rPr>
        <w:t>опасен,  его</w:t>
      </w:r>
      <w:proofErr w:type="gramEnd"/>
      <w:r w:rsidRPr="00C239BD">
        <w:rPr>
          <w:sz w:val="28"/>
          <w:szCs w:val="28"/>
        </w:rPr>
        <w:t xml:space="preserve"> проявления - от хулиганских действий до актов вандализма и насилия - опираются, как правило, на системные идеологические воззрения. В их основе – ксенофобия, национальная и религиозная нетерпимость. Существует проблема легкой доступности материалов, пропагандирующих экстремизм.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DC2943">
        <w:rPr>
          <w:sz w:val="28"/>
          <w:szCs w:val="28"/>
        </w:rPr>
        <w:t>Выполнение предлагаемых мероприятий возможно только при объединении усилий органа местного самоуправления, общественных объединений и организаций. В то же время решить за короткий срок в полном объеме весь комплекс мероприятий по профилактике экстремизма и терроризма невозможно. В связи с этим целесообразна разработка Программы.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</w:p>
    <w:p w:rsidR="003076ED" w:rsidRDefault="003076ED" w:rsidP="003076ED">
      <w:pPr>
        <w:ind w:firstLine="708"/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Основные цели, задачи, этапы и сроки реализации Программы</w:t>
      </w:r>
    </w:p>
    <w:p w:rsidR="003076ED" w:rsidRDefault="003076ED" w:rsidP="003076ED">
      <w:pPr>
        <w:jc w:val="both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Целью Программы является повышение уровня общественной безопасности и защищенности населения, объектов инфраструктуры от угроз терроризма, и экстремизма, а также предупреждение и пресечение распространения террористической, и экстремистской идеологии на те</w:t>
      </w:r>
      <w:r>
        <w:rPr>
          <w:sz w:val="28"/>
          <w:szCs w:val="28"/>
        </w:rPr>
        <w:t xml:space="preserve">рритории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сельсовет.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Достижение цели Программы планируется через реализацию системы взаимосвязанных программных мероприятий, призванных решить задачи по совершенствованию системы профилактики террористических угроз и экстремизма, обеспечению антитеррористической защищенности объектов инфраструктуры и общественной б</w:t>
      </w:r>
      <w:r>
        <w:rPr>
          <w:sz w:val="28"/>
          <w:szCs w:val="28"/>
        </w:rPr>
        <w:t xml:space="preserve">езопасности в сельском </w:t>
      </w:r>
      <w:proofErr w:type="gramStart"/>
      <w:r>
        <w:rPr>
          <w:sz w:val="28"/>
          <w:szCs w:val="28"/>
        </w:rPr>
        <w:t xml:space="preserve">поселении  </w:t>
      </w:r>
      <w:r w:rsidR="00D27004">
        <w:rPr>
          <w:sz w:val="28"/>
          <w:szCs w:val="28"/>
        </w:rPr>
        <w:t>Мурапталовский</w:t>
      </w:r>
      <w:proofErr w:type="gramEnd"/>
      <w:r>
        <w:rPr>
          <w:sz w:val="28"/>
          <w:szCs w:val="28"/>
        </w:rPr>
        <w:t xml:space="preserve"> сельсовет.</w:t>
      </w: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Основными задачами Программы являются: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совершенствование системы профилактических мер, направленных на противодействие терроризму;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устранение предпосылок и условий возникновения террористических и экстремистских проявлений;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Реализация Программы рассчитана н</w:t>
      </w:r>
      <w:r>
        <w:rPr>
          <w:sz w:val="28"/>
          <w:szCs w:val="28"/>
        </w:rPr>
        <w:t>а период с 2018 по 2020</w:t>
      </w:r>
      <w:r w:rsidRPr="00C239BD">
        <w:rPr>
          <w:sz w:val="28"/>
          <w:szCs w:val="28"/>
        </w:rPr>
        <w:t xml:space="preserve"> годы. </w:t>
      </w:r>
      <w:r>
        <w:rPr>
          <w:sz w:val="28"/>
          <w:szCs w:val="28"/>
        </w:rPr>
        <w:tab/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Перечень и характеристика основных мероприятий Программы</w:t>
      </w:r>
    </w:p>
    <w:p w:rsidR="003076E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 xml:space="preserve">Обеспечение высокого уровня организации работы по профилактике террористических угроз и экстремистской деятельности на территории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</w:t>
      </w:r>
      <w:r w:rsidRPr="00C239BD">
        <w:rPr>
          <w:sz w:val="28"/>
          <w:szCs w:val="28"/>
        </w:rPr>
        <w:t xml:space="preserve">может быть достигнуто только при </w:t>
      </w:r>
      <w:r w:rsidRPr="00C239BD">
        <w:rPr>
          <w:sz w:val="28"/>
          <w:szCs w:val="28"/>
        </w:rPr>
        <w:lastRenderedPageBreak/>
        <w:t>комплексном подходе к данной проблеме, с учетом качественного выполнения программных мероприятий районной целевой Программы.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Перечень программных меропр</w:t>
      </w:r>
      <w:r>
        <w:rPr>
          <w:sz w:val="28"/>
          <w:szCs w:val="28"/>
        </w:rPr>
        <w:t xml:space="preserve">иятий содержится в Приложении </w:t>
      </w:r>
      <w:r w:rsidRPr="00C239BD">
        <w:rPr>
          <w:sz w:val="28"/>
          <w:szCs w:val="28"/>
        </w:rPr>
        <w:t>к Программе.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 xml:space="preserve">Программные мероприятия осуществляются по следующим направлениям: 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организационные мероприятия;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нормативно-правовое обеспечение деятельности по профилактике терроризма и экстремистской деятельности;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профилактика терроризма, экстремизма и усиление антитеррористической защищенности объектов инфраструктуры;</w:t>
      </w: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9B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9BD">
        <w:rPr>
          <w:sz w:val="28"/>
          <w:szCs w:val="28"/>
        </w:rPr>
        <w:t>информационно-методическое обеспечение профилактики терроризма и экстремизма.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Источники финансирования Программы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с распределением по годам и объемам</w:t>
      </w: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</w:p>
    <w:p w:rsidR="003076ED" w:rsidRPr="00C239BD" w:rsidRDefault="003076ED" w:rsidP="003076ED">
      <w:pPr>
        <w:ind w:firstLine="709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Финансирование Программных мероприятий осуществляется за счет средств местного бюджета сельского поселения</w:t>
      </w:r>
      <w:r>
        <w:rPr>
          <w:sz w:val="28"/>
          <w:szCs w:val="28"/>
        </w:rPr>
        <w:t xml:space="preserve">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 </w:t>
      </w:r>
      <w:r w:rsidRPr="00C239BD">
        <w:rPr>
          <w:sz w:val="28"/>
          <w:szCs w:val="28"/>
        </w:rPr>
        <w:t>Общий объем средств местного бюджета на р</w:t>
      </w:r>
      <w:r w:rsidR="00D27004">
        <w:rPr>
          <w:sz w:val="28"/>
          <w:szCs w:val="28"/>
        </w:rPr>
        <w:t xml:space="preserve">еализацию программы </w:t>
      </w:r>
      <w:proofErr w:type="gramStart"/>
      <w:r w:rsidR="00D27004">
        <w:rPr>
          <w:sz w:val="28"/>
          <w:szCs w:val="28"/>
        </w:rPr>
        <w:t>составит  12</w:t>
      </w:r>
      <w:proofErr w:type="gramEnd"/>
      <w:r>
        <w:rPr>
          <w:sz w:val="28"/>
          <w:szCs w:val="28"/>
        </w:rPr>
        <w:t>,0 тыс</w:t>
      </w:r>
      <w:r w:rsidRPr="00C2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9BD">
        <w:rPr>
          <w:sz w:val="28"/>
          <w:szCs w:val="28"/>
        </w:rPr>
        <w:t>рублей, в том числе: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CF3FE6">
        <w:rPr>
          <w:sz w:val="28"/>
          <w:szCs w:val="28"/>
        </w:rPr>
        <w:t>9</w:t>
      </w:r>
      <w:r w:rsidR="00D27004">
        <w:rPr>
          <w:sz w:val="28"/>
          <w:szCs w:val="28"/>
        </w:rPr>
        <w:t xml:space="preserve"> году – 2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CF3FE6">
        <w:rPr>
          <w:sz w:val="28"/>
          <w:szCs w:val="28"/>
        </w:rPr>
        <w:t xml:space="preserve">20 </w:t>
      </w:r>
      <w:r w:rsidR="00D27004">
        <w:rPr>
          <w:sz w:val="28"/>
          <w:szCs w:val="28"/>
        </w:rPr>
        <w:t>году –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CF3FE6">
        <w:rPr>
          <w:sz w:val="28"/>
          <w:szCs w:val="28"/>
        </w:rPr>
        <w:t>1</w:t>
      </w:r>
      <w:r>
        <w:rPr>
          <w:sz w:val="28"/>
          <w:szCs w:val="28"/>
        </w:rPr>
        <w:t>году –</w:t>
      </w:r>
      <w:r w:rsidR="00D27004">
        <w:rPr>
          <w:sz w:val="28"/>
          <w:szCs w:val="28"/>
        </w:rPr>
        <w:t xml:space="preserve"> 5</w:t>
      </w:r>
      <w:r>
        <w:rPr>
          <w:sz w:val="28"/>
          <w:szCs w:val="28"/>
        </w:rPr>
        <w:t>,0 тыс. руб.</w:t>
      </w:r>
    </w:p>
    <w:p w:rsidR="003076ED" w:rsidRPr="00C239B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ED" w:rsidRDefault="003076ED" w:rsidP="003076ED">
      <w:pPr>
        <w:jc w:val="center"/>
        <w:rPr>
          <w:b/>
          <w:sz w:val="28"/>
          <w:szCs w:val="28"/>
        </w:rPr>
      </w:pPr>
      <w:r w:rsidRPr="005254C8">
        <w:rPr>
          <w:b/>
          <w:sz w:val="28"/>
          <w:szCs w:val="28"/>
        </w:rPr>
        <w:t xml:space="preserve">Финансирование мероприятий Программы в целом за период реализации Программы, в том числе с разбивкой по годам приведен в Приложении </w:t>
      </w:r>
    </w:p>
    <w:p w:rsidR="003076ED" w:rsidRPr="005254C8" w:rsidRDefault="003076ED" w:rsidP="00307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Программе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Механизм реализации Программы определяется заказчиком - администрацией </w:t>
      </w:r>
      <w:r>
        <w:rPr>
          <w:sz w:val="28"/>
          <w:szCs w:val="28"/>
        </w:rPr>
        <w:t xml:space="preserve">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>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При необходимости заказчик Программы уточняет целевые индикаторы и показатели Программы, затраты по мероприятиям Программы, механизм реализации и состав исполнителей Программы.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Неотъемлемым элементом механизма реализации Программы является ее мониторинг.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>Заказы на выполнение программных мероприятий размещаются в организациях, учреждениях и на предприятиях - поставщиках посредством заключения муниципальных контрактов (договоров).</w:t>
      </w:r>
    </w:p>
    <w:p w:rsidR="003076ED" w:rsidRPr="007851D4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t xml:space="preserve">Выбор исполнителей мероприятий программы осуществляется на основе открытых конкурсных процедур согласно </w:t>
      </w:r>
      <w:proofErr w:type="gramStart"/>
      <w:r w:rsidRPr="007851D4">
        <w:rPr>
          <w:sz w:val="28"/>
          <w:szCs w:val="28"/>
        </w:rPr>
        <w:t>принципу равенства конкурентных условий</w:t>
      </w:r>
      <w:proofErr w:type="gramEnd"/>
      <w:r w:rsidRPr="007851D4">
        <w:rPr>
          <w:sz w:val="28"/>
          <w:szCs w:val="28"/>
        </w:rPr>
        <w:t xml:space="preserve"> для участия в реализации программных мероприятий.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7851D4">
        <w:rPr>
          <w:sz w:val="28"/>
          <w:szCs w:val="28"/>
        </w:rPr>
        <w:lastRenderedPageBreak/>
        <w:t xml:space="preserve"> Контроль за исполнением программных мероприятий осуществляется администрацией сельского поселения </w:t>
      </w:r>
      <w:r w:rsidR="00D27004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7851D4">
        <w:rPr>
          <w:sz w:val="28"/>
          <w:szCs w:val="28"/>
        </w:rPr>
        <w:t xml:space="preserve">. Ответственными за выполнение мероприятий Программы в установленные сроки являются исполнители программы. В ходе </w:t>
      </w:r>
      <w:proofErr w:type="gramStart"/>
      <w:r w:rsidRPr="007851D4">
        <w:rPr>
          <w:sz w:val="28"/>
          <w:szCs w:val="28"/>
        </w:rPr>
        <w:t>реализации  Программы</w:t>
      </w:r>
      <w:proofErr w:type="gramEnd"/>
      <w:r w:rsidRPr="007851D4">
        <w:rPr>
          <w:sz w:val="28"/>
          <w:szCs w:val="28"/>
        </w:rPr>
        <w:t xml:space="preserve">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 Участники Программы, ответственные за выполнение мероприятий, представляют в администрацию поселения информацию о ходе реализации Программы по итогам квартала (нарастающим итогом с начала года) в срок до 5 числа месяца, следующего за отчетным периодом. Ход и результаты выполнения мероприятий должны быть освещены в средствах массовой информации и рассматриваться на заседаниях постоянно действующей антитеррористической комиссии по проведению мероприятий, по профилактике терроризма и минимизации или ликвидации последствий совершения террористических актов на территории сельского поселения</w:t>
      </w:r>
      <w:r>
        <w:rPr>
          <w:sz w:val="28"/>
          <w:szCs w:val="28"/>
        </w:rPr>
        <w:t>.</w:t>
      </w:r>
      <w:r w:rsidRPr="007851D4">
        <w:rPr>
          <w:sz w:val="28"/>
          <w:szCs w:val="28"/>
        </w:rPr>
        <w:t xml:space="preserve"> </w:t>
      </w: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3076ED" w:rsidRPr="00C239BD" w:rsidRDefault="003076ED" w:rsidP="003076ED">
      <w:pPr>
        <w:jc w:val="center"/>
        <w:rPr>
          <w:b/>
          <w:sz w:val="28"/>
          <w:szCs w:val="28"/>
        </w:rPr>
      </w:pPr>
      <w:r w:rsidRPr="00C239BD">
        <w:rPr>
          <w:b/>
          <w:sz w:val="28"/>
          <w:szCs w:val="28"/>
        </w:rPr>
        <w:t>Ожидаемые результаты реализации Программы</w:t>
      </w:r>
    </w:p>
    <w:p w:rsidR="003076ED" w:rsidRDefault="003076ED" w:rsidP="003076ED">
      <w:pPr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  <w:r w:rsidRPr="00C239BD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поселения, создать систему технической защиты зданий, объектов социальной сферы, культуры и спорта, а также объектов с массовым пребыванием граждан.</w:t>
      </w: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CF3FE6" w:rsidRDefault="00CF3FE6" w:rsidP="003076ED">
      <w:pPr>
        <w:ind w:firstLine="708"/>
        <w:jc w:val="both"/>
        <w:rPr>
          <w:sz w:val="28"/>
          <w:szCs w:val="28"/>
        </w:rPr>
      </w:pPr>
    </w:p>
    <w:p w:rsidR="003076ED" w:rsidRDefault="003076ED" w:rsidP="003076ED">
      <w:pPr>
        <w:ind w:firstLine="708"/>
        <w:jc w:val="both"/>
        <w:rPr>
          <w:sz w:val="28"/>
          <w:szCs w:val="28"/>
        </w:rPr>
      </w:pPr>
    </w:p>
    <w:p w:rsidR="00CF3FE6" w:rsidRPr="007851D4" w:rsidRDefault="00CF3FE6" w:rsidP="00D27004">
      <w:pPr>
        <w:rPr>
          <w:sz w:val="28"/>
          <w:szCs w:val="28"/>
        </w:rPr>
        <w:sectPr w:rsidR="00CF3FE6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      </w:t>
      </w:r>
      <w:r w:rsidR="00D270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270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 w:rsidR="00D270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3076ED" w:rsidRDefault="003076ED" w:rsidP="003076ED">
      <w:pPr>
        <w:ind w:left="8222"/>
        <w:jc w:val="both"/>
      </w:pPr>
      <w:proofErr w:type="gramStart"/>
      <w:r>
        <w:lastRenderedPageBreak/>
        <w:t>Приложение</w:t>
      </w:r>
      <w:r w:rsidR="00CF3FE6">
        <w:t xml:space="preserve"> </w:t>
      </w:r>
      <w:r>
        <w:t xml:space="preserve"> к</w:t>
      </w:r>
      <w:proofErr w:type="gramEnd"/>
      <w:r>
        <w:t xml:space="preserve">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D27004">
        <w:t>Мурапталовский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 w:rsidR="00CF3FE6">
        <w:t>2019</w:t>
      </w:r>
      <w:r>
        <w:t>-202</w:t>
      </w:r>
      <w:r w:rsidR="00CF3FE6">
        <w:t>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D27004">
        <w:rPr>
          <w:b/>
          <w:color w:val="000000"/>
          <w:sz w:val="28"/>
          <w:szCs w:val="28"/>
        </w:rPr>
        <w:t>Мурапталовский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 xml:space="preserve">он Республики </w:t>
      </w:r>
      <w:proofErr w:type="gramStart"/>
      <w:r>
        <w:rPr>
          <w:b/>
          <w:color w:val="000000"/>
          <w:sz w:val="28"/>
          <w:szCs w:val="28"/>
        </w:rPr>
        <w:t>Башкортостан  201</w:t>
      </w:r>
      <w:r w:rsidR="00CF3FE6">
        <w:rPr>
          <w:b/>
          <w:color w:val="000000"/>
          <w:sz w:val="28"/>
          <w:szCs w:val="28"/>
        </w:rPr>
        <w:t>9</w:t>
      </w:r>
      <w:proofErr w:type="gramEnd"/>
      <w:r>
        <w:rPr>
          <w:b/>
          <w:color w:val="000000"/>
          <w:sz w:val="28"/>
          <w:szCs w:val="28"/>
        </w:rPr>
        <w:t>-20</w:t>
      </w:r>
      <w:r w:rsidR="00CF3FE6">
        <w:rPr>
          <w:b/>
          <w:color w:val="000000"/>
          <w:sz w:val="28"/>
          <w:szCs w:val="28"/>
        </w:rPr>
        <w:t>21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№ п/п</w:t>
            </w:r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CF3FE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CF3FE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076ED" w:rsidRPr="00D625EC" w:rsidRDefault="003076ED" w:rsidP="00CF3FE6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CF3FE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с участием представительный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3076ED">
              <w:rPr>
                <w:rFonts w:ascii="Times New Roman" w:hAnsi="Times New Roman"/>
                <w:sz w:val="24"/>
                <w:szCs w:val="24"/>
              </w:rPr>
              <w:t>Куюргазинскому</w:t>
            </w:r>
            <w:proofErr w:type="spellEnd"/>
            <w:r w:rsidR="003076ED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Освещение  на</w:t>
            </w:r>
            <w:proofErr w:type="gramEnd"/>
            <w:r>
              <w:rPr>
                <w:bCs/>
              </w:rPr>
              <w:t xml:space="preserve">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76ED" w:rsidRPr="00250681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,управляющий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делами СП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 w:rsidR="003076E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="003076ED">
              <w:rPr>
                <w:rFonts w:ascii="Times New Roman" w:hAnsi="Times New Roman"/>
                <w:sz w:val="24"/>
                <w:szCs w:val="24"/>
              </w:rPr>
              <w:lastRenderedPageBreak/>
              <w:t>Куюргазинскому</w:t>
            </w:r>
            <w:proofErr w:type="spellEnd"/>
            <w:r w:rsidR="003076ED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</w:t>
            </w:r>
            <w:proofErr w:type="gramStart"/>
            <w:r>
              <w:rPr>
                <w:color w:val="000000"/>
              </w:rPr>
              <w:t>также  о</w:t>
            </w:r>
            <w:proofErr w:type="gramEnd"/>
            <w:r>
              <w:rPr>
                <w:color w:val="000000"/>
              </w:rPr>
              <w:t xml:space="preserve">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proofErr w:type="spellStart"/>
            <w:proofErr w:type="gram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gramEnd"/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</w:p>
        </w:tc>
        <w:tc>
          <w:tcPr>
            <w:tcW w:w="1101" w:type="dxa"/>
          </w:tcPr>
          <w:p w:rsidR="003076ED" w:rsidRDefault="00CF3FE6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октябрь</w:t>
            </w:r>
            <w:r w:rsidR="003076ED">
              <w:rPr>
                <w:bCs/>
                <w:sz w:val="20"/>
                <w:szCs w:val="20"/>
              </w:rPr>
              <w:t xml:space="preserve"> 2019,2020 годов</w:t>
            </w:r>
          </w:p>
        </w:tc>
        <w:tc>
          <w:tcPr>
            <w:tcW w:w="1731" w:type="dxa"/>
            <w:gridSpan w:val="4"/>
          </w:tcPr>
          <w:p w:rsidR="003076ED" w:rsidRDefault="003076ED" w:rsidP="00D27004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</w:t>
            </w:r>
            <w:proofErr w:type="gramStart"/>
            <w:r>
              <w:rPr>
                <w:bCs/>
              </w:rPr>
              <w:t xml:space="preserve">поселения  </w:t>
            </w:r>
            <w:r w:rsidR="00D27004">
              <w:rPr>
                <w:bCs/>
              </w:rPr>
              <w:t>12</w:t>
            </w:r>
            <w:proofErr w:type="gramEnd"/>
            <w:r>
              <w:rPr>
                <w:bCs/>
              </w:rPr>
              <w:t xml:space="preserve">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 xml:space="preserve">Проведение комплексных </w:t>
            </w:r>
            <w:proofErr w:type="gramStart"/>
            <w:r w:rsidRPr="000D4F08">
              <w:rPr>
                <w:color w:val="000000"/>
              </w:rPr>
              <w:t>проверок  антитеррористической</w:t>
            </w:r>
            <w:proofErr w:type="gramEnd"/>
            <w:r w:rsidRPr="000D4F08">
              <w:rPr>
                <w:color w:val="000000"/>
              </w:rPr>
              <w:t xml:space="preserve">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Повышение уровня безопасности и антитеррористической защищенности объектов социальной </w:t>
            </w:r>
            <w:proofErr w:type="gramStart"/>
            <w:r>
              <w:rPr>
                <w:bCs/>
                <w:sz w:val="22"/>
                <w:szCs w:val="22"/>
              </w:rPr>
              <w:t>инфраструктуры  и</w:t>
            </w:r>
            <w:proofErr w:type="gramEnd"/>
            <w:r>
              <w:rPr>
                <w:bCs/>
                <w:sz w:val="22"/>
                <w:szCs w:val="22"/>
              </w:rPr>
              <w:t xml:space="preserve">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F3FE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r w:rsidR="00CF3FE6">
              <w:rPr>
                <w:rFonts w:ascii="Times New Roman" w:hAnsi="Times New Roman"/>
                <w:sz w:val="24"/>
                <w:szCs w:val="24"/>
              </w:rPr>
              <w:t>,культорганизаторы</w:t>
            </w:r>
            <w:proofErr w:type="spellEnd"/>
            <w:r w:rsidR="00CF3FE6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="00CF3FE6">
              <w:rPr>
                <w:rFonts w:ascii="Times New Roman" w:hAnsi="Times New Roman"/>
                <w:sz w:val="24"/>
                <w:szCs w:val="24"/>
              </w:rPr>
              <w:t>д.</w:t>
            </w:r>
            <w:r w:rsidR="00D27004">
              <w:rPr>
                <w:rFonts w:ascii="Times New Roman" w:hAnsi="Times New Roman"/>
                <w:sz w:val="24"/>
                <w:szCs w:val="24"/>
              </w:rPr>
              <w:t>Красный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Маяк,с.Якутово</w:t>
            </w:r>
            <w:r w:rsidR="00CF3FE6">
              <w:rPr>
                <w:rFonts w:ascii="Times New Roman" w:hAnsi="Times New Roman"/>
                <w:sz w:val="24"/>
                <w:szCs w:val="24"/>
              </w:rPr>
              <w:t>,д.</w:t>
            </w:r>
            <w:r w:rsidR="00D27004">
              <w:rPr>
                <w:rFonts w:ascii="Times New Roman" w:hAnsi="Times New Roman"/>
                <w:sz w:val="24"/>
                <w:szCs w:val="24"/>
              </w:rPr>
              <w:t>Аксарово</w:t>
            </w:r>
            <w:proofErr w:type="spellEnd"/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CF3FE6" w:rsidRPr="00250681" w:rsidRDefault="00CF3FE6" w:rsidP="00CF3F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директор МБОУ СОШ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27004">
              <w:rPr>
                <w:rFonts w:ascii="Times New Roman" w:hAnsi="Times New Roman"/>
                <w:sz w:val="24"/>
                <w:szCs w:val="24"/>
              </w:rPr>
              <w:t>заведующий  СДК</w:t>
            </w:r>
            <w:proofErr w:type="gram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Новомурапталово,культорганизаторы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д.Красный</w:t>
            </w:r>
            <w:proofErr w:type="spellEnd"/>
            <w:r w:rsidR="00D2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004">
              <w:rPr>
                <w:rFonts w:ascii="Times New Roman" w:hAnsi="Times New Roman"/>
                <w:sz w:val="24"/>
                <w:szCs w:val="24"/>
              </w:rPr>
              <w:t>Маяк,с.Якутово,д.Аксарово</w:t>
            </w:r>
            <w:proofErr w:type="spellEnd"/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="003076ED" w:rsidRPr="00250681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Куюргазинскому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End"/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B16A3B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076ED" w:rsidRPr="008220F6">
              <w:rPr>
                <w:rFonts w:ascii="Times New Roman" w:hAnsi="Times New Roman"/>
                <w:sz w:val="24"/>
                <w:szCs w:val="24"/>
              </w:rPr>
              <w:t xml:space="preserve">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Куюргазинскому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 xml:space="preserve">Активизация мер по профилактике и предотвращению конфликтов на социальной, политической, </w:t>
            </w:r>
            <w:r>
              <w:lastRenderedPageBreak/>
              <w:t>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proofErr w:type="spellStart"/>
      <w:r w:rsidR="00D27004">
        <w:rPr>
          <w:sz w:val="28"/>
          <w:szCs w:val="28"/>
        </w:rPr>
        <w:t>В.Ф.Хисикова</w:t>
      </w:r>
      <w:proofErr w:type="spellEnd"/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ED"/>
    <w:rsid w:val="00097FBB"/>
    <w:rsid w:val="001501A2"/>
    <w:rsid w:val="00217CDF"/>
    <w:rsid w:val="00284776"/>
    <w:rsid w:val="003076ED"/>
    <w:rsid w:val="00404C21"/>
    <w:rsid w:val="005A37A6"/>
    <w:rsid w:val="007A50D1"/>
    <w:rsid w:val="007D06AA"/>
    <w:rsid w:val="007D2FA1"/>
    <w:rsid w:val="00B16A3B"/>
    <w:rsid w:val="00BC401B"/>
    <w:rsid w:val="00CB40C6"/>
    <w:rsid w:val="00CD6A7C"/>
    <w:rsid w:val="00CF3FE6"/>
    <w:rsid w:val="00D27004"/>
    <w:rsid w:val="00D30CA7"/>
    <w:rsid w:val="00D53116"/>
    <w:rsid w:val="00D75876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27E90-509C-4B18-BC0B-2AD3C30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7587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876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МурапталУправДел</cp:lastModifiedBy>
  <cp:revision>2</cp:revision>
  <cp:lastPrinted>2019-10-01T13:53:00Z</cp:lastPrinted>
  <dcterms:created xsi:type="dcterms:W3CDTF">2020-01-16T11:30:00Z</dcterms:created>
  <dcterms:modified xsi:type="dcterms:W3CDTF">2020-01-16T11:30:00Z</dcterms:modified>
</cp:coreProperties>
</file>